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049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04926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Hofstein Raphael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BioLineRx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BLRX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14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0"/>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9"/>
              </w:rPr>
              <w:t>C/O BIOLINERX LTD.</w:t>
            </w:r>
          </w:p>
        </w:tc>
        <w:tc>
          <w:tcPr>
            <w:tcW w:w="11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 HAMA'AYAN STREET</w:t>
            </w:r>
          </w:p>
        </w:tc>
      </w:tr>
      <w:tr>
        <w:trPr>
          <w:trHeight w:val="177"/>
        </w:trPr>
        <w:tc>
          <w:tcPr>
            <w:tcW w:w="9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MODII'N</w:t>
            </w:r>
          </w:p>
        </w:tc>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L3</w:t>
            </w: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7177871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0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1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7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0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780" w:type="dxa"/>
            <w:vAlign w:val="bottom"/>
            <w:vMerge w:val="restart"/>
          </w:tcPr>
          <w:p>
            <w:pPr>
              <w:ind w:left="7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1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780" w:type="dxa"/>
            <w:vAlign w:val="bottom"/>
          </w:tcPr>
          <w:p>
            <w:pPr>
              <w:ind w:left="7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100" w:type="dxa"/>
            <w:vAlign w:val="bottom"/>
            <w:vMerge w:val="continue"/>
          </w:tcPr>
          <w:p>
            <w:pPr>
              <w:spacing w:after="0"/>
              <w:rPr>
                <w:sz w:val="17"/>
                <w:szCs w:val="17"/>
                <w:color w:val="auto"/>
              </w:rPr>
            </w:pPr>
          </w:p>
        </w:tc>
        <w:tc>
          <w:tcPr>
            <w:tcW w:w="1780" w:type="dxa"/>
            <w:vAlign w:val="bottom"/>
          </w:tcPr>
          <w:p>
            <w:pPr>
              <w:ind w:left="7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8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10/05/2016</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07/05/2026</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49,800</w:t>
            </w:r>
            <w:r>
              <w:rPr>
                <w:rFonts w:ascii="Times New Roman" w:cs="Times New Roman" w:eastAsia="Times New Roman" w:hAnsi="Times New Roman"/>
                <w:sz w:val="25"/>
                <w:szCs w:val="25"/>
                <w:color w:val="008000"/>
                <w:w w:val="89"/>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0.837</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(1)(2)</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10/05/2017</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07/05/2027</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19,800</w:t>
            </w:r>
            <w:r>
              <w:rPr>
                <w:rFonts w:ascii="Times New Roman" w:cs="Times New Roman" w:eastAsia="Times New Roman" w:hAnsi="Times New Roman"/>
                <w:sz w:val="25"/>
                <w:szCs w:val="25"/>
                <w:color w:val="008000"/>
                <w:w w:val="89"/>
                <w:vertAlign w:val="superscript"/>
              </w:rPr>
              <w:t>(12)</w:t>
            </w:r>
          </w:p>
        </w:tc>
        <w:tc>
          <w:tcPr>
            <w:tcW w:w="940" w:type="dxa"/>
            <w:vAlign w:val="bottom"/>
            <w:vMerge w:val="restart"/>
          </w:tcPr>
          <w:p>
            <w:pPr>
              <w:jc w:val="center"/>
              <w:ind w:right="62"/>
              <w:spacing w:after="0"/>
              <w:rPr>
                <w:sz w:val="20"/>
                <w:szCs w:val="20"/>
                <w:color w:val="auto"/>
              </w:rPr>
            </w:pPr>
            <w:r>
              <w:rPr>
                <w:rFonts w:ascii="Times New Roman" w:cs="Times New Roman" w:eastAsia="Times New Roman" w:hAnsi="Times New Roman"/>
                <w:sz w:val="20"/>
                <w:szCs w:val="20"/>
                <w:color w:val="0000FF"/>
                <w:w w:val="97"/>
              </w:rPr>
              <w:t>0.92</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(1)(3)</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10/05/2018</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07/05/2028</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19,800</w:t>
            </w:r>
            <w:r>
              <w:rPr>
                <w:rFonts w:ascii="Times New Roman" w:cs="Times New Roman" w:eastAsia="Times New Roman" w:hAnsi="Times New Roman"/>
                <w:sz w:val="25"/>
                <w:szCs w:val="25"/>
                <w:color w:val="008000"/>
                <w:w w:val="89"/>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0.894</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(1)(4)</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10/02/2019</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07/02/2029</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0"/>
              </w:rPr>
              <w:t>199,800</w:t>
            </w:r>
            <w:r>
              <w:rPr>
                <w:rFonts w:ascii="Times New Roman" w:cs="Times New Roman" w:eastAsia="Times New Roman" w:hAnsi="Times New Roman"/>
                <w:sz w:val="25"/>
                <w:szCs w:val="25"/>
                <w:color w:val="008000"/>
                <w:w w:val="90"/>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0.356</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(1)(5)</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10/02/2020</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07/02/2030</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79,800</w:t>
            </w:r>
            <w:r>
              <w:rPr>
                <w:rFonts w:ascii="Times New Roman" w:cs="Times New Roman" w:eastAsia="Times New Roman" w:hAnsi="Times New Roman"/>
                <w:sz w:val="25"/>
                <w:szCs w:val="25"/>
                <w:color w:val="008000"/>
                <w:w w:val="89"/>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0.369</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(1)(6)</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10/02/2021</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07/02/2031</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89"/>
              </w:rPr>
              <w:t>79,800</w:t>
            </w:r>
            <w:r>
              <w:rPr>
                <w:rFonts w:ascii="Times New Roman" w:cs="Times New Roman" w:eastAsia="Times New Roman" w:hAnsi="Times New Roman"/>
                <w:sz w:val="25"/>
                <w:szCs w:val="25"/>
                <w:color w:val="008000"/>
                <w:w w:val="89"/>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0.388</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(1)(7)</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10/03/2022</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07/03/2032</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1,080,000</w:t>
            </w:r>
            <w:r>
              <w:rPr>
                <w:rFonts w:ascii="Times New Roman" w:cs="Times New Roman" w:eastAsia="Times New Roman" w:hAnsi="Times New Roman"/>
                <w:sz w:val="25"/>
                <w:szCs w:val="25"/>
                <w:color w:val="008000"/>
                <w:w w:val="92"/>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0.085</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(1)(8)</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10/03/2023</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07/03/2033</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0"/>
              </w:rPr>
              <w:t>360,000</w:t>
            </w:r>
            <w:r>
              <w:rPr>
                <w:rFonts w:ascii="Times New Roman" w:cs="Times New Roman" w:eastAsia="Times New Roman" w:hAnsi="Times New Roman"/>
                <w:sz w:val="25"/>
                <w:szCs w:val="25"/>
                <w:color w:val="008000"/>
                <w:w w:val="90"/>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0.081</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(1)(9)</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10/03/2024</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07/03/2032</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0"/>
              </w:rPr>
              <w:t>360,000</w:t>
            </w:r>
            <w:r>
              <w:rPr>
                <w:rFonts w:ascii="Times New Roman" w:cs="Times New Roman" w:eastAsia="Times New Roman" w:hAnsi="Times New Roman"/>
                <w:sz w:val="25"/>
                <w:szCs w:val="25"/>
                <w:color w:val="008000"/>
                <w:w w:val="90"/>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0.085</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16" w:lineRule="exact"/>
              <w:rPr>
                <w:sz w:val="20"/>
                <w:szCs w:val="20"/>
                <w:color w:val="auto"/>
              </w:rPr>
            </w:pPr>
            <w:r>
              <w:rPr>
                <w:rFonts w:ascii="Times New Roman" w:cs="Times New Roman" w:eastAsia="Times New Roman" w:hAnsi="Times New Roman"/>
                <w:sz w:val="36"/>
                <w:szCs w:val="36"/>
                <w:color w:val="0000FF"/>
                <w:vertAlign w:val="subscript"/>
              </w:rPr>
              <w:t>Buy)</w:t>
            </w:r>
            <w:r>
              <w:rPr>
                <w:rFonts w:ascii="Times New Roman" w:cs="Times New Roman" w:eastAsia="Times New Roman" w:hAnsi="Times New Roman"/>
                <w:sz w:val="12"/>
                <w:szCs w:val="12"/>
                <w:color w:val="008000"/>
              </w:rPr>
              <w:t>(1)(10)</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2840" w:type="dxa"/>
            <w:vAlign w:val="bottom"/>
            <w:tcBorders>
              <w:bottom w:val="single" w:sz="8" w:color="2C2C2C"/>
            </w:tcBorders>
            <w:vMerge w:val="continue"/>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w:t>
            </w:r>
          </w:p>
        </w:tc>
        <w:tc>
          <w:tcPr>
            <w:tcW w:w="940" w:type="dxa"/>
            <w:vAlign w:val="bottom"/>
            <w:vMerge w:val="restart"/>
          </w:tcPr>
          <w:p>
            <w:pPr>
              <w:jc w:val="right"/>
              <w:ind w:right="45"/>
              <w:spacing w:after="0"/>
              <w:rPr>
                <w:sz w:val="20"/>
                <w:szCs w:val="20"/>
                <w:color w:val="auto"/>
              </w:rPr>
            </w:pPr>
            <w:r>
              <w:rPr>
                <w:rFonts w:ascii="Times New Roman" w:cs="Times New Roman" w:eastAsia="Times New Roman" w:hAnsi="Times New Roman"/>
                <w:sz w:val="15"/>
                <w:szCs w:val="15"/>
                <w:color w:val="0000FF"/>
              </w:rPr>
              <w:t>01/01/2025</w:t>
            </w:r>
          </w:p>
        </w:tc>
        <w:tc>
          <w:tcPr>
            <w:tcW w:w="980" w:type="dxa"/>
            <w:vAlign w:val="bottom"/>
            <w:vMerge w:val="restart"/>
          </w:tcPr>
          <w:p>
            <w:pPr>
              <w:jc w:val="right"/>
              <w:ind w:right="85"/>
              <w:spacing w:after="0"/>
              <w:rPr>
                <w:sz w:val="20"/>
                <w:szCs w:val="20"/>
                <w:color w:val="auto"/>
              </w:rPr>
            </w:pPr>
            <w:r>
              <w:rPr>
                <w:rFonts w:ascii="Times New Roman" w:cs="Times New Roman" w:eastAsia="Times New Roman" w:hAnsi="Times New Roman"/>
                <w:sz w:val="15"/>
                <w:szCs w:val="15"/>
                <w:color w:val="0000FF"/>
              </w:rPr>
              <w:t>08/14/2034</w:t>
            </w: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Ordinary Shares</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2"/>
              </w:rPr>
              <w:t>2,055,000</w:t>
            </w:r>
            <w:r>
              <w:rPr>
                <w:rFonts w:ascii="Times New Roman" w:cs="Times New Roman" w:eastAsia="Times New Roman" w:hAnsi="Times New Roman"/>
                <w:sz w:val="25"/>
                <w:szCs w:val="25"/>
                <w:color w:val="008000"/>
                <w:w w:val="92"/>
                <w:vertAlign w:val="superscript"/>
              </w:rPr>
              <w:t>(12)</w:t>
            </w: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20"/>
                <w:szCs w:val="20"/>
                <w:color w:val="0000FF"/>
                <w:w w:val="97"/>
              </w:rPr>
              <w:t>0.052</w:t>
            </w:r>
          </w:p>
        </w:tc>
        <w:tc>
          <w:tcPr>
            <w:tcW w:w="228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D</w:t>
            </w:r>
          </w:p>
        </w:tc>
        <w:tc>
          <w:tcPr>
            <w:tcW w:w="0" w:type="dxa"/>
            <w:vAlign w:val="bottom"/>
          </w:tcPr>
          <w:p>
            <w:pPr>
              <w:spacing w:after="0"/>
              <w:rPr>
                <w:sz w:val="1"/>
                <w:szCs w:val="1"/>
                <w:color w:val="auto"/>
              </w:rPr>
            </w:pPr>
          </w:p>
        </w:tc>
      </w:tr>
      <w:tr>
        <w:trPr>
          <w:trHeight w:val="196"/>
        </w:trPr>
        <w:tc>
          <w:tcPr>
            <w:tcW w:w="2840" w:type="dxa"/>
            <w:vAlign w:val="bottom"/>
            <w:vMerge w:val="restart"/>
          </w:tcPr>
          <w:p>
            <w:pPr>
              <w:ind w:left="80"/>
              <w:spacing w:after="0" w:line="389" w:lineRule="exact"/>
              <w:rPr>
                <w:sz w:val="20"/>
                <w:szCs w:val="20"/>
                <w:color w:val="auto"/>
              </w:rPr>
            </w:pPr>
            <w:r>
              <w:rPr>
                <w:rFonts w:ascii="Times New Roman" w:cs="Times New Roman" w:eastAsia="Times New Roman" w:hAnsi="Times New Roman"/>
                <w:sz w:val="39"/>
                <w:szCs w:val="39"/>
                <w:color w:val="0000FF"/>
                <w:vertAlign w:val="subscript"/>
              </w:rPr>
              <w:t>Buy)</w:t>
            </w:r>
            <w:r>
              <w:rPr>
                <w:rFonts w:ascii="Times New Roman" w:cs="Times New Roman" w:eastAsia="Times New Roman" w:hAnsi="Times New Roman"/>
                <w:sz w:val="13"/>
                <w:szCs w:val="13"/>
                <w:color w:val="008000"/>
              </w:rPr>
              <w:t>(1)(11)</w:t>
            </w:r>
          </w:p>
        </w:tc>
        <w:tc>
          <w:tcPr>
            <w:tcW w:w="94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4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Options granted under the 2003 Amended and Restated Share Incentive Plan.</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5, 2016.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5, 2017.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5, 2018. This option grant is fully vested as of this date.</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2, 2019.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2, 2020.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2, 2021.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2022.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2023. This option grant is fully vested as of this date.</w:t>
      </w:r>
    </w:p>
    <w:p>
      <w:pPr>
        <w:spacing w:after="0" w:line="52" w:lineRule="exact"/>
        <w:rPr>
          <w:rFonts w:ascii="Times New Roman" w:cs="Times New Roman" w:eastAsia="Times New Roman" w:hAnsi="Times New Roman"/>
          <w:sz w:val="15"/>
          <w:szCs w:val="15"/>
          <w:color w:val="008000"/>
        </w:rPr>
      </w:pPr>
    </w:p>
    <w:p>
      <w:pPr>
        <w:ind w:left="240" w:hanging="235"/>
        <w:spacing w:after="0"/>
        <w:tabs>
          <w:tab w:leader="none" w:pos="24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July 3, 2024. This option grant is fully vested as of this date.</w:t>
      </w:r>
    </w:p>
    <w:p>
      <w:pPr>
        <w:spacing w:after="0" w:line="52" w:lineRule="exact"/>
        <w:rPr>
          <w:rFonts w:ascii="Times New Roman" w:cs="Times New Roman" w:eastAsia="Times New Roman" w:hAnsi="Times New Roman"/>
          <w:sz w:val="15"/>
          <w:szCs w:val="15"/>
          <w:color w:val="008000"/>
        </w:rPr>
      </w:pPr>
    </w:p>
    <w:p>
      <w:pPr>
        <w:ind w:right="20" w:firstLine="5"/>
        <w:spacing w:after="0" w:line="259" w:lineRule="auto"/>
        <w:tabs>
          <w:tab w:leader="none" w:pos="22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grant date of this grant is October 1, 2024. As of this date, 856,200 of the options were vested as of the date of appointment. The remaining 1,198,800 options will vest in 7 equal quarterly installments, subject to the Reporting Person's continued service to the Issuer as of each vesting date.</w:t>
      </w:r>
    </w:p>
    <w:p>
      <w:pPr>
        <w:spacing w:after="0" w:line="17" w:lineRule="exact"/>
        <w:rPr>
          <w:rFonts w:ascii="Times New Roman" w:cs="Times New Roman" w:eastAsia="Times New Roman" w:hAnsi="Times New Roman"/>
          <w:sz w:val="15"/>
          <w:szCs w:val="15"/>
          <w:color w:val="008000"/>
        </w:rPr>
      </w:pPr>
    </w:p>
    <w:p>
      <w:pPr>
        <w:ind w:right="200" w:firstLine="5"/>
        <w:spacing w:after="0" w:line="259" w:lineRule="auto"/>
        <w:tabs>
          <w:tab w:leader="none" w:pos="225"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To qualify for certain tax benefits under Section 102 of the Israeli Tax Ordinance, securities issued to an employee in connection with the 2003 Amended and Restated Share Incentive Plan must be registered in the name of a trustee.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Rapheal Hofstein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5"/>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68550" TargetMode="External"/><Relationship Id="rId11" Type="http://schemas.openxmlformats.org/officeDocument/2006/relationships/hyperlink" Target="http://www.sec.gov/cgi-bin/browse-edgar?action=getcompany&amp;CIK=0001498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2026-03-31T15:17:16Z</dcterms:created>
  <dcterms:modified xsi:type="dcterms:W3CDTF">2026-03-31T15:17:16Z</dcterms:modified>
</cp:coreProperties>
</file>