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049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0492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PANEM SANDRA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BioLineRx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BLRX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14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C/O BIOLINERX LTD.</w:t>
            </w:r>
          </w:p>
        </w:tc>
        <w:tc>
          <w:tcPr>
            <w:tcW w:w="11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 HAMA'AYAN STREET</w:t>
            </w:r>
          </w:p>
        </w:tc>
      </w:tr>
      <w:tr>
        <w:trPr>
          <w:trHeight w:val="177"/>
        </w:trPr>
        <w:tc>
          <w:tcPr>
            <w:tcW w:w="9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MODII'N</w:t>
            </w:r>
          </w:p>
        </w:tc>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7177871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4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6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6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color w:val="0000FF"/>
              </w:rPr>
              <w:t>10/05/2016</w:t>
            </w:r>
          </w:p>
        </w:tc>
        <w:tc>
          <w:tcPr>
            <w:tcW w:w="9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07/05/2026</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49,800</w:t>
            </w:r>
          </w:p>
        </w:tc>
        <w:tc>
          <w:tcPr>
            <w:tcW w:w="96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0.837</w:t>
            </w:r>
          </w:p>
        </w:tc>
        <w:tc>
          <w:tcPr>
            <w:tcW w:w="2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90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(1)(2)</w:t>
            </w: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vMerge w:val="continue"/>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color w:val="0000FF"/>
              </w:rPr>
              <w:t>10/05/2017</w:t>
            </w:r>
          </w:p>
        </w:tc>
        <w:tc>
          <w:tcPr>
            <w:tcW w:w="9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07/05/2027</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19,800</w:t>
            </w:r>
          </w:p>
        </w:tc>
        <w:tc>
          <w:tcPr>
            <w:tcW w:w="96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0.92</w:t>
            </w:r>
          </w:p>
        </w:tc>
        <w:tc>
          <w:tcPr>
            <w:tcW w:w="2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90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(1)(3)</w:t>
            </w: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vMerge w:val="continue"/>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color w:val="0000FF"/>
              </w:rPr>
              <w:t>10/05/2018</w:t>
            </w:r>
          </w:p>
        </w:tc>
        <w:tc>
          <w:tcPr>
            <w:tcW w:w="9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07/05/2028</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19,800</w:t>
            </w:r>
          </w:p>
        </w:tc>
        <w:tc>
          <w:tcPr>
            <w:tcW w:w="96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0.894</w:t>
            </w:r>
          </w:p>
        </w:tc>
        <w:tc>
          <w:tcPr>
            <w:tcW w:w="2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90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(1)(4)</w:t>
            </w: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vMerge w:val="continue"/>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color w:val="0000FF"/>
              </w:rPr>
              <w:t>10/02/2019</w:t>
            </w:r>
          </w:p>
        </w:tc>
        <w:tc>
          <w:tcPr>
            <w:tcW w:w="9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07/02/2029</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199,800</w:t>
            </w:r>
          </w:p>
        </w:tc>
        <w:tc>
          <w:tcPr>
            <w:tcW w:w="96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0.356</w:t>
            </w:r>
          </w:p>
        </w:tc>
        <w:tc>
          <w:tcPr>
            <w:tcW w:w="2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90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(1)(5)</w:t>
            </w: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vMerge w:val="continue"/>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color w:val="0000FF"/>
              </w:rPr>
              <w:t>10/02/2020</w:t>
            </w:r>
          </w:p>
        </w:tc>
        <w:tc>
          <w:tcPr>
            <w:tcW w:w="9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07/02/2030</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79,800</w:t>
            </w:r>
          </w:p>
        </w:tc>
        <w:tc>
          <w:tcPr>
            <w:tcW w:w="96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0.369</w:t>
            </w:r>
          </w:p>
        </w:tc>
        <w:tc>
          <w:tcPr>
            <w:tcW w:w="2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90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(1)(6)</w:t>
            </w: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vMerge w:val="continue"/>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color w:val="0000FF"/>
              </w:rPr>
              <w:t>10/02/2021</w:t>
            </w:r>
          </w:p>
        </w:tc>
        <w:tc>
          <w:tcPr>
            <w:tcW w:w="9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07/02/2031</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79,800</w:t>
            </w:r>
          </w:p>
        </w:tc>
        <w:tc>
          <w:tcPr>
            <w:tcW w:w="96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0.388</w:t>
            </w:r>
          </w:p>
        </w:tc>
        <w:tc>
          <w:tcPr>
            <w:tcW w:w="2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90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(1)(7)</w:t>
            </w: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vMerge w:val="continue"/>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color w:val="0000FF"/>
              </w:rPr>
              <w:t>10/03/2022</w:t>
            </w:r>
          </w:p>
        </w:tc>
        <w:tc>
          <w:tcPr>
            <w:tcW w:w="9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07/03/2032</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1,080,000</w:t>
            </w:r>
          </w:p>
        </w:tc>
        <w:tc>
          <w:tcPr>
            <w:tcW w:w="96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0.085</w:t>
            </w:r>
          </w:p>
        </w:tc>
        <w:tc>
          <w:tcPr>
            <w:tcW w:w="2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90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(1)(8)</w:t>
            </w: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vMerge w:val="continue"/>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color w:val="0000FF"/>
              </w:rPr>
              <w:t>10/03/2023</w:t>
            </w:r>
          </w:p>
        </w:tc>
        <w:tc>
          <w:tcPr>
            <w:tcW w:w="9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07/03/2033</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360,000</w:t>
            </w:r>
          </w:p>
        </w:tc>
        <w:tc>
          <w:tcPr>
            <w:tcW w:w="96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0.081</w:t>
            </w:r>
          </w:p>
        </w:tc>
        <w:tc>
          <w:tcPr>
            <w:tcW w:w="2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90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(1)(9)</w:t>
            </w: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vMerge w:val="continue"/>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color w:val="0000FF"/>
              </w:rPr>
              <w:t>10/03/2024</w:t>
            </w:r>
          </w:p>
        </w:tc>
        <w:tc>
          <w:tcPr>
            <w:tcW w:w="9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07/03/2032</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360,000</w:t>
            </w:r>
          </w:p>
        </w:tc>
        <w:tc>
          <w:tcPr>
            <w:tcW w:w="96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0.085</w:t>
            </w:r>
          </w:p>
        </w:tc>
        <w:tc>
          <w:tcPr>
            <w:tcW w:w="2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r>
              <w:rPr>
                <w:rFonts w:ascii="Times New Roman" w:cs="Times New Roman" w:eastAsia="Times New Roman" w:hAnsi="Times New Roman"/>
                <w:sz w:val="25"/>
                <w:szCs w:val="25"/>
                <w:color w:val="008000"/>
                <w:vertAlign w:val="superscript"/>
              </w:rPr>
              <w:t>(10)</w:t>
            </w: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vMerge w:val="continue"/>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color w:val="0000FF"/>
              </w:rPr>
              <w:t>01/01/2025</w:t>
            </w:r>
          </w:p>
        </w:tc>
        <w:tc>
          <w:tcPr>
            <w:tcW w:w="98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08/14/2034</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2,055,000</w:t>
            </w:r>
          </w:p>
        </w:tc>
        <w:tc>
          <w:tcPr>
            <w:tcW w:w="96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0.052</w:t>
            </w:r>
          </w:p>
        </w:tc>
        <w:tc>
          <w:tcPr>
            <w:tcW w:w="2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900" w:type="dxa"/>
            <w:vAlign w:val="bottom"/>
            <w:vMerge w:val="restart"/>
          </w:tcPr>
          <w:p>
            <w:pPr>
              <w:ind w:left="80"/>
              <w:spacing w:after="0" w:line="389" w:lineRule="exact"/>
              <w:rPr>
                <w:sz w:val="20"/>
                <w:szCs w:val="20"/>
                <w:color w:val="auto"/>
              </w:rPr>
            </w:pPr>
            <w:r>
              <w:rPr>
                <w:rFonts w:ascii="Times New Roman" w:cs="Times New Roman" w:eastAsia="Times New Roman" w:hAnsi="Times New Roman"/>
                <w:sz w:val="39"/>
                <w:szCs w:val="39"/>
                <w:color w:val="0000FF"/>
                <w:vertAlign w:val="subscript"/>
              </w:rPr>
              <w:t>Buy)</w:t>
            </w:r>
            <w:r>
              <w:rPr>
                <w:rFonts w:ascii="Times New Roman" w:cs="Times New Roman" w:eastAsia="Times New Roman" w:hAnsi="Times New Roman"/>
                <w:sz w:val="13"/>
                <w:szCs w:val="13"/>
                <w:color w:val="008000"/>
              </w:rPr>
              <w:t>(11)</w:t>
            </w: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900" w:type="dxa"/>
            <w:vAlign w:val="bottom"/>
            <w:vMerge w:val="continue"/>
          </w:tcPr>
          <w:p>
            <w:pPr>
              <w:spacing w:after="0"/>
              <w:rPr>
                <w:sz w:val="22"/>
                <w:szCs w:val="22"/>
                <w:color w:val="auto"/>
              </w:rPr>
            </w:pP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Options granted under the 2003 Amended and Restated Share Incentive Plan.</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5, 2016.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5, 2017.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5, 2018. This option grant is fully vested as of this date.</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2, 2019.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2, 2020.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2, 2021.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2022.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2023.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40" w:hanging="235"/>
        <w:spacing w:after="0"/>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2024. This option grant is fully vested as of this date.</w:t>
      </w:r>
    </w:p>
    <w:p>
      <w:pPr>
        <w:spacing w:after="0" w:line="52" w:lineRule="exact"/>
        <w:rPr>
          <w:rFonts w:ascii="Times New Roman" w:cs="Times New Roman" w:eastAsia="Times New Roman" w:hAnsi="Times New Roman"/>
          <w:sz w:val="15"/>
          <w:szCs w:val="15"/>
          <w:color w:val="008000"/>
        </w:rPr>
      </w:pPr>
    </w:p>
    <w:p>
      <w:pPr>
        <w:ind w:right="20" w:firstLine="5"/>
        <w:spacing w:after="0" w:line="259" w:lineRule="auto"/>
        <w:tabs>
          <w:tab w:leader="none" w:pos="22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October 1, 2024. As of this date, 856,200 of the options were vested as of the date of appointment. The remaining 1,198,800 options will vest in 7 equal quarterly installments, subject to the Reporting Person's continued service to the Issuer as of each vesting date.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Sandra Panem</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00255" TargetMode="External"/><Relationship Id="rId11" Type="http://schemas.openxmlformats.org/officeDocument/2006/relationships/hyperlink" Target="http://www.sec.gov/cgi-bin/browse-edgar?action=getcompany&amp;CIK=0001498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2026-03-31T15:12:17Z</dcterms:created>
  <dcterms:modified xsi:type="dcterms:W3CDTF">2026-03-31T15:12:17Z</dcterms:modified>
</cp:coreProperties>
</file>